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D" w:rsidRPr="00EB629D" w:rsidRDefault="00EB629D" w:rsidP="00EB629D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EB629D">
        <w:rPr>
          <w:b/>
          <w:bCs/>
          <w:color w:val="22272F"/>
          <w:sz w:val="24"/>
          <w:szCs w:val="24"/>
          <w:lang w:eastAsia="ru-RU"/>
        </w:rPr>
        <w:t>Приложение N 2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EB629D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EB629D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EB629D" w:rsidRPr="00EB629D" w:rsidRDefault="00EB629D" w:rsidP="00EB629D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EB629D">
        <w:rPr>
          <w:b/>
          <w:bCs/>
          <w:color w:val="22272F"/>
          <w:sz w:val="30"/>
          <w:szCs w:val="30"/>
          <w:lang w:eastAsia="ru-RU"/>
        </w:rPr>
        <w:t>Информация о фактических средних данных о присоединенных объемах максимальной мощности за 3 предыдущих года по каждому мероприятию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629D" w:rsidTr="00EB629D"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464C55"/>
                <w:sz w:val="24"/>
                <w:szCs w:val="24"/>
                <w:lang w:eastAsia="ru-RU"/>
              </w:rPr>
              <w:t>Фактические расходы на строительство подстанций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за 3 предыдущих года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464C55"/>
                <w:sz w:val="24"/>
                <w:szCs w:val="24"/>
                <w:lang w:eastAsia="ru-RU"/>
              </w:rPr>
              <w:t>Объем мощности, введенной в основные фонды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за 3 предыдущих года (кВт)</w:t>
            </w:r>
          </w:p>
        </w:tc>
      </w:tr>
      <w:tr w:rsidR="00EB629D" w:rsidTr="00EB629D"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1.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>Строительство пунктов секционирования (распределенных пунктов)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EB629D" w:rsidTr="00EB629D">
        <w:tc>
          <w:tcPr>
            <w:tcW w:w="3190" w:type="dxa"/>
          </w:tcPr>
          <w:p w:rsidR="00EB629D" w:rsidRP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2.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 xml:space="preserve">Строительство комплектных трансформаторных подстанций и распределительных трансформаторных подстанций с уровнем напряжения </w:t>
            </w:r>
          </w:p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до 35 кВ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00501F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4214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00501F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3080</w:t>
            </w:r>
          </w:p>
        </w:tc>
      </w:tr>
      <w:tr w:rsidR="00EB629D" w:rsidTr="00EB629D">
        <w:tc>
          <w:tcPr>
            <w:tcW w:w="3190" w:type="dxa"/>
          </w:tcPr>
          <w:p w:rsidR="00EB629D" w:rsidRP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3.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 xml:space="preserve">Строительство центров питания и подстанций уровнем напряжения 35 кВ </w:t>
            </w:r>
          </w:p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и выше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</w:tbl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413CCC" w:rsidRDefault="00413CCC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>
      <w:bookmarkStart w:id="0" w:name="_GoBack"/>
      <w:bookmarkEnd w:id="0"/>
    </w:p>
    <w:sectPr w:rsidR="00114176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00501F"/>
    <w:rsid w:val="00114176"/>
    <w:rsid w:val="001426AA"/>
    <w:rsid w:val="00332EDA"/>
    <w:rsid w:val="00413CCC"/>
    <w:rsid w:val="0046278D"/>
    <w:rsid w:val="004D7883"/>
    <w:rsid w:val="00743DA7"/>
    <w:rsid w:val="00AE3927"/>
    <w:rsid w:val="00BB022F"/>
    <w:rsid w:val="00E5109B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2019-04-23T11:21:00Z</dcterms:created>
  <dcterms:modified xsi:type="dcterms:W3CDTF">2019-04-23T11:21:00Z</dcterms:modified>
</cp:coreProperties>
</file>