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color w:val="151414"/>
        </w:rPr>
      </w:pPr>
      <w:r w:rsidRPr="007A0F94">
        <w:rPr>
          <w:rStyle w:val="a4"/>
          <w:color w:val="151414"/>
        </w:rPr>
        <w:t>Порядок технологического присоединения для физических лиц: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center"/>
        <w:rPr>
          <w:color w:val="151414"/>
        </w:rPr>
      </w:pP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 1. Подача заявки юридическим или физическим лицом (далее —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 схему внешнего электроснабжения энергопринимающих устройств заявителя.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 2.Заключение договора технологического присоединения.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 3. Выполнение сторонами договора мероприятий, предусмотренных договором технологического присоединения.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  </w:t>
      </w:r>
      <w:proofErr w:type="gramStart"/>
      <w:r w:rsidRPr="007A0F94">
        <w:rPr>
          <w:color w:val="151414"/>
        </w:rPr>
        <w:t>4.Получение разрешения органа федерального государственного энергетического надзора на допуск к эксплуатации объектов заявителя, за исключением: —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 (Указанные исключения не распространяются на случаи</w:t>
      </w:r>
      <w:proofErr w:type="gramEnd"/>
      <w:r w:rsidRPr="007A0F94">
        <w:rPr>
          <w:color w:val="151414"/>
        </w:rPr>
        <w:t xml:space="preserve"> технологического присоединения объектов сетевых организаций):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объектов юр. лиц/ИП, максимальная мощность энергопринимающих устройств которых до 150 кВт,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- физ. лиц максимальная мощность энергопринимающих </w:t>
      </w:r>
      <w:proofErr w:type="gramStart"/>
      <w:r w:rsidRPr="007A0F94">
        <w:rPr>
          <w:color w:val="151414"/>
        </w:rPr>
        <w:t>устройств</w:t>
      </w:r>
      <w:proofErr w:type="gramEnd"/>
      <w:r w:rsidRPr="007A0F94">
        <w:rPr>
          <w:color w:val="151414"/>
        </w:rPr>
        <w:t xml:space="preserve">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в целях временного технологического присоединения при исполнении договора ТП.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5.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6.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7. </w:t>
      </w:r>
      <w:proofErr w:type="gramStart"/>
      <w:r w:rsidRPr="007A0F94">
        <w:rPr>
          <w:color w:val="151414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энергии»).</w:t>
      </w:r>
      <w:proofErr w:type="gramEnd"/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8.Заключение договора энергоснабжения.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Сроки заключения договора по технологическому присоединению.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lastRenderedPageBreak/>
        <w:t>- 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заявки, а при присоединении по индивидуальному проекту —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7A0F94">
        <w:rPr>
          <w:color w:val="151414"/>
        </w:rPr>
        <w:t xml:space="preserve">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10 рабочих дней со дня получения заявки.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При отсутствии сведений и документов, указанных в пунктах  9, 10 и 12 — 14 Правил,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сведений.</w:t>
      </w:r>
      <w:proofErr w:type="gramEnd"/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- Заявитель подписывает оба экземпляра проекта договора в течение 30 дней </w:t>
      </w:r>
      <w:proofErr w:type="gramStart"/>
      <w:r w:rsidRPr="007A0F94">
        <w:rPr>
          <w:color w:val="151414"/>
        </w:rPr>
        <w:t>с даты получения</w:t>
      </w:r>
      <w:proofErr w:type="gramEnd"/>
      <w:r w:rsidRPr="007A0F94">
        <w:rPr>
          <w:color w:val="151414"/>
        </w:rPr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В случае несогласия с представленным сетевой организацией проектом договора и (или) несоответствия его настоящим Правилам 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</w:r>
      <w:proofErr w:type="gramEnd"/>
      <w:r w:rsidRPr="007A0F94">
        <w:rPr>
          <w:color w:val="151414"/>
        </w:rPr>
        <w:t xml:space="preserve"> Указанный мотивированный отказ направляется заявителем в сетевую организацию заказным письмом с уведомлением о вручении.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В случае не направления заявителем подписанного проекта договора либо мотивированного отказа от его подписания, но не ранее чем через 60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Правилами в течение 5 рабочих дней с даты получения такого требования и представить заявителю новую редакцию проекта договора для подписания</w:t>
      </w:r>
      <w:proofErr w:type="gramEnd"/>
      <w:r w:rsidRPr="007A0F94">
        <w:rPr>
          <w:color w:val="151414"/>
        </w:rPr>
        <w:t>, а также технические условия как неотъемлемое приложение к договору.</w:t>
      </w:r>
    </w:p>
    <w:p w:rsid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- Договор считается заключенным </w:t>
      </w:r>
      <w:proofErr w:type="gramStart"/>
      <w:r w:rsidRPr="007A0F94">
        <w:rPr>
          <w:color w:val="151414"/>
        </w:rPr>
        <w:t>с даты поступления</w:t>
      </w:r>
      <w:proofErr w:type="gramEnd"/>
      <w:r w:rsidRPr="007A0F94">
        <w:rPr>
          <w:color w:val="151414"/>
        </w:rPr>
        <w:t xml:space="preserve"> подписанного заявителем экземпляра договора в сетевую организацию.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151414"/>
        </w:rPr>
      </w:pPr>
      <w:r w:rsidRPr="007A0F94">
        <w:rPr>
          <w:rStyle w:val="a4"/>
          <w:color w:val="151414"/>
        </w:rPr>
        <w:t>Порядок технологического присоединения для юридических лиц: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1. Подача заявки юридическим или физическим лицом (далее —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lastRenderedPageBreak/>
        <w:t>2. Заключение договора технологического присоединения;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3. Выполнение сторонами договора мероприятий, предусмотренных договором технологического присоединения.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4. </w:t>
      </w:r>
      <w:proofErr w:type="gramStart"/>
      <w:r w:rsidRPr="007A0F94">
        <w:rPr>
          <w:color w:val="151414"/>
        </w:rPr>
        <w:t>Получение разрешения органа федерального государственного энергетического надзора на допуск к эксплуатации объектов заявителя, за исключением: —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 (Указанные исключения не распространяются на случаи технологического</w:t>
      </w:r>
      <w:proofErr w:type="gramEnd"/>
      <w:r w:rsidRPr="007A0F94">
        <w:rPr>
          <w:color w:val="151414"/>
        </w:rPr>
        <w:t xml:space="preserve"> присоединения объектов сетевых организаций):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объектов юр. лиц/ИП, максимальная мощность энергопринимающих устройств которых до 150 кВт,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- физ. лиц максимальная мощность энергопринимающих </w:t>
      </w:r>
      <w:proofErr w:type="gramStart"/>
      <w:r w:rsidRPr="007A0F94">
        <w:rPr>
          <w:color w:val="151414"/>
        </w:rPr>
        <w:t>устройств</w:t>
      </w:r>
      <w:proofErr w:type="gramEnd"/>
      <w:r w:rsidRPr="007A0F94">
        <w:rPr>
          <w:color w:val="151414"/>
        </w:rPr>
        <w:t xml:space="preserve">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в целях временного технологического присоединения при исполнении договора ТП.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5.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6.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7. </w:t>
      </w:r>
      <w:proofErr w:type="gramStart"/>
      <w:r w:rsidRPr="007A0F94">
        <w:rPr>
          <w:color w:val="151414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энергии»).</w:t>
      </w:r>
      <w:proofErr w:type="gramEnd"/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8. Заключение договора энергоснабжения.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Сроки заключения договоров по технологическому присоединению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 15 дней со дня получения заявки, а при присоединении по индивидуальному проекту — в течение 5 дней 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7A0F94">
        <w:rPr>
          <w:color w:val="151414"/>
        </w:rPr>
        <w:t xml:space="preserve">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 10 рабочих дней со дня получения заявки.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 xml:space="preserve">- При отсутствии сведений и документов, указанных в пунктах  9, 10 и 12 — 14 Правил, сетевая организация уведомляет об этом заявителя в течение 6 рабочих дней с даты получения заявки и направляет ему для подписания заполненный и подписанный ею </w:t>
      </w:r>
      <w:r w:rsidRPr="007A0F94">
        <w:rPr>
          <w:color w:val="151414"/>
        </w:rPr>
        <w:lastRenderedPageBreak/>
        <w:t>проект договора в 2 экземплярах и технические условия как неотъемлемое приложение к договору в течение 30 дней с даты получения недостающих сведений.</w:t>
      </w:r>
      <w:proofErr w:type="gramEnd"/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Заявитель подписывает оба экземпляра проекта договора в течение 30 дней </w:t>
      </w:r>
      <w:proofErr w:type="gramStart"/>
      <w:r w:rsidRPr="007A0F94">
        <w:rPr>
          <w:color w:val="151414"/>
        </w:rPr>
        <w:t>с даты получения</w:t>
      </w:r>
      <w:proofErr w:type="gramEnd"/>
      <w:r w:rsidRPr="007A0F94">
        <w:rPr>
          <w:color w:val="151414"/>
        </w:rPr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В случае несогласия с представленным сетевой организацией проектом договора и (или) несоответствия его настоящим Правилам заявитель вправе в течение 30 дней 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 Правилами.</w:t>
      </w:r>
      <w:proofErr w:type="gramEnd"/>
      <w:r w:rsidRPr="007A0F94">
        <w:rPr>
          <w:color w:val="151414"/>
        </w:rPr>
        <w:t xml:space="preserve"> Указанный мотивированный отказ направляется заявителем в сетевую организацию заказным письмом с уведомлением о вручении.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>- В случае не направления заявителем подписанного проекта договора либо мотивированного отказа от его подписания, но не ранее чем через 60 дней 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proofErr w:type="gramStart"/>
      <w:r w:rsidRPr="007A0F94">
        <w:rPr>
          <w:color w:val="151414"/>
        </w:rPr>
        <w:t>- В случае направления заявителем в течение 30 дней 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 Правилами в течение 5 рабочих дней с даты получения такого требования и представить заявителю новую редакцию проекта договора для подписания</w:t>
      </w:r>
      <w:proofErr w:type="gramEnd"/>
      <w:r w:rsidRPr="007A0F94">
        <w:rPr>
          <w:color w:val="151414"/>
        </w:rPr>
        <w:t>, а также технические условия как неотъемлемое приложение к договору.</w:t>
      </w:r>
    </w:p>
    <w:p w:rsidR="007A0F94" w:rsidRPr="007A0F94" w:rsidRDefault="007A0F94" w:rsidP="007A0F94">
      <w:pPr>
        <w:pStyle w:val="a3"/>
        <w:shd w:val="clear" w:color="auto" w:fill="FFFFFF"/>
        <w:spacing w:before="0" w:beforeAutospacing="0" w:after="125" w:afterAutospacing="0"/>
        <w:jc w:val="both"/>
        <w:rPr>
          <w:color w:val="151414"/>
        </w:rPr>
      </w:pPr>
      <w:r w:rsidRPr="007A0F94">
        <w:rPr>
          <w:color w:val="151414"/>
        </w:rPr>
        <w:t xml:space="preserve">- Договор считается заключенным </w:t>
      </w:r>
      <w:proofErr w:type="gramStart"/>
      <w:r w:rsidRPr="007A0F94">
        <w:rPr>
          <w:color w:val="151414"/>
        </w:rPr>
        <w:t>с даты поступления</w:t>
      </w:r>
      <w:proofErr w:type="gramEnd"/>
      <w:r w:rsidRPr="007A0F94">
        <w:rPr>
          <w:color w:val="151414"/>
        </w:rPr>
        <w:t xml:space="preserve"> подписанного заявителем экземпляра договора в сетевую организацию.</w:t>
      </w:r>
    </w:p>
    <w:p w:rsidR="00B447E1" w:rsidRPr="007A0F94" w:rsidRDefault="00B447E1">
      <w:pPr>
        <w:rPr>
          <w:rFonts w:ascii="Times New Roman" w:hAnsi="Times New Roman" w:cs="Times New Roman"/>
          <w:sz w:val="24"/>
          <w:szCs w:val="24"/>
        </w:rPr>
      </w:pPr>
    </w:p>
    <w:sectPr w:rsidR="00B447E1" w:rsidRPr="007A0F94" w:rsidSect="00D2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F94"/>
    <w:rsid w:val="004B5740"/>
    <w:rsid w:val="005127AB"/>
    <w:rsid w:val="006C4952"/>
    <w:rsid w:val="007A0F94"/>
    <w:rsid w:val="00895137"/>
    <w:rsid w:val="008B6A95"/>
    <w:rsid w:val="00B447E1"/>
    <w:rsid w:val="00D2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1737</Words>
  <Characters>9903</Characters>
  <Application>Microsoft Office Word</Application>
  <DocSecurity>0</DocSecurity>
  <Lines>82</Lines>
  <Paragraphs>23</Paragraphs>
  <ScaleCrop>false</ScaleCrop>
  <Company>MultiDVD Team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2018-08-07T07:26:00Z</dcterms:created>
  <dcterms:modified xsi:type="dcterms:W3CDTF">2018-08-07T07:32:00Z</dcterms:modified>
</cp:coreProperties>
</file>